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122" w:rsidRDefault="00CA63BF" w:rsidP="0027767C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7/10 </w:t>
      </w:r>
      <w:r w:rsidR="0027767C">
        <w:rPr>
          <w:rFonts w:ascii="Arial" w:hAnsi="Arial" w:cs="Arial"/>
          <w:b/>
          <w:sz w:val="28"/>
          <w:szCs w:val="28"/>
        </w:rPr>
        <w:t xml:space="preserve">AB-10: </w:t>
      </w:r>
      <w:proofErr w:type="spellStart"/>
      <w:r w:rsidR="0027767C">
        <w:rPr>
          <w:rFonts w:ascii="Arial" w:hAnsi="Arial" w:cs="Arial"/>
          <w:b/>
          <w:sz w:val="28"/>
          <w:szCs w:val="28"/>
        </w:rPr>
        <w:t>Syndromgruppe</w:t>
      </w:r>
      <w:proofErr w:type="spellEnd"/>
      <w:r w:rsidR="0027767C">
        <w:rPr>
          <w:rFonts w:ascii="Arial" w:hAnsi="Arial" w:cs="Arial"/>
          <w:b/>
          <w:sz w:val="28"/>
          <w:szCs w:val="28"/>
        </w:rPr>
        <w:t xml:space="preserve"> „Entwicklung“</w:t>
      </w:r>
    </w:p>
    <w:p w:rsidR="00246CDE" w:rsidRDefault="00246CDE" w:rsidP="00246C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</w:t>
      </w:r>
      <w:r w:rsidR="00CA63BF">
        <w:rPr>
          <w:rFonts w:ascii="Arial" w:hAnsi="Arial" w:cs="Arial"/>
          <w:b/>
          <w:sz w:val="28"/>
          <w:szCs w:val="28"/>
        </w:rPr>
        <w:t xml:space="preserve">        </w:t>
      </w:r>
      <w:r w:rsidR="0027767C" w:rsidRPr="00246CDE">
        <w:rPr>
          <w:rFonts w:ascii="Arial" w:hAnsi="Arial" w:cs="Arial"/>
          <w:b/>
          <w:sz w:val="28"/>
          <w:szCs w:val="28"/>
        </w:rPr>
        <w:t>Vernachlässigung ökologischer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27767C" w:rsidRPr="00246CDE">
        <w:rPr>
          <w:rFonts w:ascii="Arial" w:hAnsi="Arial" w:cs="Arial"/>
          <w:b/>
          <w:sz w:val="28"/>
          <w:szCs w:val="28"/>
        </w:rPr>
        <w:t xml:space="preserve">Standards im Zuge </w:t>
      </w:r>
      <w:r>
        <w:rPr>
          <w:rFonts w:ascii="Arial" w:hAnsi="Arial" w:cs="Arial"/>
          <w:b/>
          <w:sz w:val="28"/>
          <w:szCs w:val="28"/>
        </w:rPr>
        <w:t xml:space="preserve"> </w:t>
      </w:r>
    </w:p>
    <w:p w:rsidR="00CA63BF" w:rsidRDefault="00246CDE" w:rsidP="00CA63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</w:t>
      </w:r>
      <w:r w:rsidR="00CA63BF">
        <w:rPr>
          <w:rFonts w:ascii="Arial" w:hAnsi="Arial" w:cs="Arial"/>
          <w:b/>
          <w:sz w:val="28"/>
          <w:szCs w:val="28"/>
        </w:rPr>
        <w:t xml:space="preserve">        h</w:t>
      </w:r>
      <w:r w:rsidR="0027767C" w:rsidRPr="00246CDE">
        <w:rPr>
          <w:rFonts w:ascii="Arial" w:hAnsi="Arial" w:cs="Arial"/>
          <w:b/>
          <w:sz w:val="28"/>
          <w:szCs w:val="28"/>
        </w:rPr>
        <w:t>ochdynamischen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27767C" w:rsidRPr="00246CDE">
        <w:rPr>
          <w:rFonts w:ascii="Arial" w:hAnsi="Arial" w:cs="Arial"/>
          <w:b/>
          <w:sz w:val="28"/>
          <w:szCs w:val="28"/>
        </w:rPr>
        <w:t xml:space="preserve">Wirtschaftswachstums: </w:t>
      </w:r>
    </w:p>
    <w:p w:rsidR="0027767C" w:rsidRDefault="00CA63BF" w:rsidP="00CA63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</w:t>
      </w:r>
      <w:r w:rsidR="00246CDE">
        <w:rPr>
          <w:rFonts w:ascii="Arial" w:hAnsi="Arial" w:cs="Arial"/>
          <w:b/>
          <w:sz w:val="28"/>
          <w:szCs w:val="28"/>
        </w:rPr>
        <w:t>„</w:t>
      </w:r>
      <w:r w:rsidR="0027767C" w:rsidRPr="00246CDE">
        <w:rPr>
          <w:rFonts w:ascii="Arial" w:hAnsi="Arial" w:cs="Arial"/>
          <w:b/>
          <w:sz w:val="28"/>
          <w:szCs w:val="28"/>
        </w:rPr>
        <w:t>Kleine-Tiger-Syndrom</w:t>
      </w:r>
      <w:r w:rsidR="00246CDE">
        <w:rPr>
          <w:rFonts w:ascii="Arial" w:hAnsi="Arial" w:cs="Arial"/>
          <w:b/>
          <w:sz w:val="28"/>
          <w:szCs w:val="28"/>
        </w:rPr>
        <w:t>“</w:t>
      </w:r>
    </w:p>
    <w:p w:rsidR="00246CDE" w:rsidRPr="00246CDE" w:rsidRDefault="00246CDE" w:rsidP="0005184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27767C" w:rsidRPr="00246CDE" w:rsidRDefault="0027767C" w:rsidP="0005184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246CDE">
        <w:rPr>
          <w:rFonts w:ascii="Arial" w:hAnsi="Arial" w:cs="Arial"/>
          <w:sz w:val="24"/>
          <w:szCs w:val="24"/>
        </w:rPr>
        <w:t>Viele Regionen in den sogenannten Schwellenländern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>haben sich zu Brennpunkten einer rasanten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>wirtschaftlichen Dynamik entwickelt oder sind auf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>dem Sprung, diesen Strukturwandel mit einer Intensität zu bewältigen, die als neuartiges Phänomen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>durch seine hohe Eigendynamik gravierende Folgen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>für Mensch und Natur zeigt. Diese Entwicklungsproblematik,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>die als „Manchester-Syndrom“ in England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>Mitte des 18. Jahrhunderts begann und dort mehr als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>100 Jahre zu ihrer Entfaltung brauchte, hatte damals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>ihre wesentliche Umweltproblematik im mangelnden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>Wissen über Umweltwirkungen und im Fehlen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>geeigneter Technologien.</w:t>
      </w:r>
    </w:p>
    <w:p w:rsidR="00246CDE" w:rsidRDefault="0027767C" w:rsidP="0005184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246CDE">
        <w:rPr>
          <w:rFonts w:ascii="Arial" w:hAnsi="Arial" w:cs="Arial"/>
          <w:sz w:val="24"/>
          <w:szCs w:val="24"/>
        </w:rPr>
        <w:t>Im Gegensatz dazu ergibt sich die besondere Umweltbrisanz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 xml:space="preserve">im </w:t>
      </w:r>
      <w:r w:rsidRPr="00246CDE">
        <w:rPr>
          <w:rFonts w:ascii="Arial" w:hAnsi="Arial" w:cs="Arial"/>
          <w:i/>
          <w:iCs/>
          <w:sz w:val="24"/>
          <w:szCs w:val="24"/>
        </w:rPr>
        <w:t xml:space="preserve">Kleine-Tiger-Syndrom </w:t>
      </w:r>
      <w:r w:rsidR="00246CDE">
        <w:rPr>
          <w:rFonts w:ascii="Arial" w:hAnsi="Arial" w:cs="Arial"/>
          <w:sz w:val="24"/>
          <w:szCs w:val="24"/>
        </w:rPr>
        <w:t xml:space="preserve">daraus, dass   </w:t>
      </w:r>
      <w:r w:rsidRPr="00246CDE">
        <w:rPr>
          <w:rFonts w:ascii="Arial" w:hAnsi="Arial" w:cs="Arial"/>
          <w:sz w:val="24"/>
          <w:szCs w:val="24"/>
        </w:rPr>
        <w:t>s</w:t>
      </w:r>
      <w:r w:rsidR="00246CDE">
        <w:rPr>
          <w:rFonts w:ascii="Arial" w:hAnsi="Arial" w:cs="Arial"/>
          <w:sz w:val="24"/>
          <w:szCs w:val="24"/>
        </w:rPr>
        <w:t>ich dieser Entwicklungsprozess</w:t>
      </w:r>
      <w:r w:rsidRPr="00246CDE">
        <w:rPr>
          <w:rFonts w:ascii="Arial" w:hAnsi="Arial" w:cs="Arial"/>
          <w:sz w:val="24"/>
          <w:szCs w:val="24"/>
        </w:rPr>
        <w:t xml:space="preserve"> drastisch verkürzt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>hat und seine Beherrschung, was die Umweltaspekte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>betrifft, deshalb größte Anforderungen stellt. Die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>Mobilität des Kapitalmarkts, die Globalisierung der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>Märkte, weltweit hohe Transportkapazitäten und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>nicht zuletzt lokale Standortvorteile wie ökonomische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>und politische Stabilität, geringes Lohnniveau,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>geringe Partizipation der Arbeitnehmer und anfänglich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>geringe Konsumansprüche sind wesentliche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>Merkmale für die Disposition einer Region. Daneben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>sorgt die ständig steigende Verfügbarkeit von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>Produktionssoftware (Blaupausen, Produktionstechniken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>etc.) für bisher nicht bekanntes Wirtschaftswachstum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>in immer kürzeren Zeiträumen. Es liegt</w:t>
      </w:r>
      <w:r w:rsidR="00246CDE">
        <w:rPr>
          <w:rFonts w:ascii="Arial" w:hAnsi="Arial" w:cs="Arial"/>
          <w:sz w:val="24"/>
          <w:szCs w:val="24"/>
        </w:rPr>
        <w:t xml:space="preserve"> dabei auf der Hand, dass</w:t>
      </w:r>
      <w:r w:rsidRPr="00246CDE">
        <w:rPr>
          <w:rFonts w:ascii="Arial" w:hAnsi="Arial" w:cs="Arial"/>
          <w:sz w:val="24"/>
          <w:szCs w:val="24"/>
        </w:rPr>
        <w:t xml:space="preserve"> vielfach weder der Aufbau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 xml:space="preserve">einer adäquaten Infrastruktur zur </w:t>
      </w:r>
      <w:proofErr w:type="spellStart"/>
      <w:r w:rsidRPr="00246CDE">
        <w:rPr>
          <w:rFonts w:ascii="Arial" w:hAnsi="Arial" w:cs="Arial"/>
          <w:sz w:val="24"/>
          <w:szCs w:val="24"/>
        </w:rPr>
        <w:t>Ver</w:t>
      </w:r>
      <w:proofErr w:type="spellEnd"/>
      <w:r w:rsidRPr="00246CDE">
        <w:rPr>
          <w:rFonts w:ascii="Arial" w:hAnsi="Arial" w:cs="Arial"/>
          <w:sz w:val="24"/>
          <w:szCs w:val="24"/>
        </w:rPr>
        <w:t>- und Entsorgung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>noch die Einführung entsprechender Umwelttechnologien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>mit diesem Wachstum Schritt halten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 xml:space="preserve">können. </w:t>
      </w:r>
    </w:p>
    <w:p w:rsidR="00246CDE" w:rsidRDefault="0027767C" w:rsidP="0005184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246CDE">
        <w:rPr>
          <w:rFonts w:ascii="Arial" w:hAnsi="Arial" w:cs="Arial"/>
          <w:sz w:val="24"/>
          <w:szCs w:val="24"/>
        </w:rPr>
        <w:t>Dies gilt vor allem für Länder, die das Beispiel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>der Kleinen Tiger zu kopieren versuchen.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>Die Ursachen für diese Entwicklungsdisparitäten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>sind zu einem beachtlichen Teil in einem Politikversagen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>begründet, sie sind aber vor allem Konsequenz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>der Eigendynamik dieser explosiven Entwicklung.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>Große Investitionen wären erforderlich, um irreparablen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>ökologischen Schäden vorzubeugen. Diese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>Mittel sind zwar vorhanden, werden aber vor allem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>in das weitere Wirtschaftswachstum investiert – nur</w:t>
      </w:r>
      <w:r w:rsidR="00246CDE">
        <w:rPr>
          <w:rFonts w:ascii="Arial" w:hAnsi="Arial" w:cs="Arial"/>
          <w:sz w:val="24"/>
          <w:szCs w:val="24"/>
        </w:rPr>
        <w:t xml:space="preserve"> so lässt sich der Prozess</w:t>
      </w:r>
      <w:r w:rsidRPr="00246CDE">
        <w:rPr>
          <w:rFonts w:ascii="Arial" w:hAnsi="Arial" w:cs="Arial"/>
          <w:sz w:val="24"/>
          <w:szCs w:val="24"/>
        </w:rPr>
        <w:t xml:space="preserve"> aufrechterhalten. </w:t>
      </w:r>
    </w:p>
    <w:p w:rsidR="0027767C" w:rsidRPr="00246CDE" w:rsidRDefault="0027767C" w:rsidP="0005184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246CDE">
        <w:rPr>
          <w:rFonts w:ascii="Arial" w:hAnsi="Arial" w:cs="Arial"/>
          <w:sz w:val="24"/>
          <w:szCs w:val="24"/>
        </w:rPr>
        <w:t>Die Konsequenzen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>zeigen sich in vielen betroffenen Regionen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>in Südostasien und zukünftig sicherlich auch in Indien,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>Mittel- und Südamerika. Städte wie Bangkok,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>Manila, Mexico City, Jakarta und Bombay gelten bereits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>als Beispiele für außer Kontrolle geratenes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>Verkehrsmanagement. Extreme lokale Luftverschmutzung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>(Smog), mangelhafte Abwasserreinigung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>und umweltgefährdender Umgang mit Abfall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>sind ebenso wie enormer Ressourcen- und Energieverbrauch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>die Kennzeichen dieses Syndroms.</w:t>
      </w:r>
    </w:p>
    <w:p w:rsidR="0027767C" w:rsidRPr="00246CDE" w:rsidRDefault="0027767C" w:rsidP="0005184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246CDE">
        <w:rPr>
          <w:rFonts w:ascii="Arial" w:hAnsi="Arial" w:cs="Arial"/>
          <w:sz w:val="24"/>
          <w:szCs w:val="24"/>
        </w:rPr>
        <w:t>Die Asiatische Entwicklungsbank beziffert die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>entstehenden Schäden bis zum Jahr 2000 bereits auf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>mehr als 2.500 Mrd. US $, wobei andere, bald ebenso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>dazu zählende Regionen wie die „Mekong-6-Länder“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 xml:space="preserve">(Kambodscha, Vietnam, Laos, </w:t>
      </w:r>
      <w:r w:rsidRPr="00246CDE">
        <w:rPr>
          <w:rFonts w:ascii="Arial" w:hAnsi="Arial" w:cs="Arial"/>
          <w:sz w:val="24"/>
          <w:szCs w:val="24"/>
        </w:rPr>
        <w:lastRenderedPageBreak/>
        <w:t>Myanmar, Thailand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 xml:space="preserve">und </w:t>
      </w:r>
      <w:proofErr w:type="spellStart"/>
      <w:r w:rsidRPr="00246CDE">
        <w:rPr>
          <w:rFonts w:ascii="Arial" w:hAnsi="Arial" w:cs="Arial"/>
          <w:sz w:val="24"/>
          <w:szCs w:val="24"/>
        </w:rPr>
        <w:t>Yünan</w:t>
      </w:r>
      <w:proofErr w:type="spellEnd"/>
      <w:r w:rsidRPr="00246CDE">
        <w:rPr>
          <w:rFonts w:ascii="Arial" w:hAnsi="Arial" w:cs="Arial"/>
          <w:sz w:val="24"/>
          <w:szCs w:val="24"/>
        </w:rPr>
        <w:t>) noch nicht berücksichtigt sind. Neben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>bestimmten Regionen in Indien wird eine ähnliche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>Entwicklung auch in anderen Regionen dieser</w:t>
      </w:r>
    </w:p>
    <w:p w:rsidR="0027767C" w:rsidRDefault="0027767C" w:rsidP="0005184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246CDE">
        <w:rPr>
          <w:rFonts w:ascii="Arial" w:hAnsi="Arial" w:cs="Arial"/>
          <w:sz w:val="24"/>
          <w:szCs w:val="24"/>
        </w:rPr>
        <w:t>Welt, wie Südafrika und Teilen Süd- und Mittelamerikas</w:t>
      </w:r>
      <w:r w:rsidR="00246CDE">
        <w:rPr>
          <w:rFonts w:ascii="Arial" w:hAnsi="Arial" w:cs="Arial"/>
          <w:sz w:val="24"/>
          <w:szCs w:val="24"/>
        </w:rPr>
        <w:t xml:space="preserve"> </w:t>
      </w:r>
      <w:r w:rsidRPr="00246CDE">
        <w:rPr>
          <w:rFonts w:ascii="Arial" w:hAnsi="Arial" w:cs="Arial"/>
          <w:sz w:val="24"/>
          <w:szCs w:val="24"/>
        </w:rPr>
        <w:t>erwartet.</w:t>
      </w:r>
    </w:p>
    <w:p w:rsidR="0005184D" w:rsidRDefault="0005184D" w:rsidP="0005184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05184D" w:rsidRDefault="0005184D" w:rsidP="0005184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(Quelle: verändert nach WBGU, 1996)</w:t>
      </w:r>
    </w:p>
    <w:p w:rsidR="0005184D" w:rsidRPr="00A12BBB" w:rsidRDefault="0005184D" w:rsidP="0005184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05184D" w:rsidRDefault="0005184D" w:rsidP="0005184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05184D" w:rsidRPr="00246CDE" w:rsidRDefault="0005184D" w:rsidP="00246C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05184D" w:rsidRPr="00246CDE" w:rsidSect="0025212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767C"/>
    <w:rsid w:val="0005184D"/>
    <w:rsid w:val="001018BB"/>
    <w:rsid w:val="00246CDE"/>
    <w:rsid w:val="00252122"/>
    <w:rsid w:val="0027767C"/>
    <w:rsid w:val="00CA6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5212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2867</Characters>
  <Application>Microsoft Office Word</Application>
  <DocSecurity>0</DocSecurity>
  <Lines>23</Lines>
  <Paragraphs>6</Paragraphs>
  <ScaleCrop>false</ScaleCrop>
  <Company/>
  <LinksUpToDate>false</LinksUpToDate>
  <CharactersWithSpaces>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GEO-Seminar Schmidt</dc:creator>
  <cp:keywords/>
  <dc:description/>
  <cp:lastModifiedBy>GEO-Seminar Schmidt</cp:lastModifiedBy>
  <cp:revision>5</cp:revision>
  <dcterms:created xsi:type="dcterms:W3CDTF">2012-08-15T16:39:00Z</dcterms:created>
  <dcterms:modified xsi:type="dcterms:W3CDTF">2012-09-17T13:13:00Z</dcterms:modified>
</cp:coreProperties>
</file>